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04BD3" w14:textId="4560AF18" w:rsidR="00821C19" w:rsidRPr="00AF4527" w:rsidRDefault="00AF4527" w:rsidP="00821C19">
      <w:pPr>
        <w:jc w:val="center"/>
        <w:rPr>
          <w:b/>
          <w:bCs/>
          <w:color w:val="C45911" w:themeColor="accent2" w:themeShade="BF"/>
          <w:sz w:val="36"/>
          <w:szCs w:val="36"/>
        </w:rPr>
      </w:pPr>
      <w:r w:rsidRPr="00AF4527">
        <w:rPr>
          <w:b/>
          <w:bCs/>
          <w:color w:val="C45911" w:themeColor="accent2" w:themeShade="BF"/>
          <w:sz w:val="36"/>
          <w:szCs w:val="36"/>
        </w:rPr>
        <w:t>Bishop Wilton</w:t>
      </w:r>
      <w:r w:rsidR="00447FF5" w:rsidRPr="00AF4527">
        <w:rPr>
          <w:b/>
          <w:bCs/>
          <w:color w:val="C45911" w:themeColor="accent2" w:themeShade="BF"/>
          <w:sz w:val="36"/>
          <w:szCs w:val="36"/>
        </w:rPr>
        <w:t xml:space="preserve"> Parish Council</w:t>
      </w:r>
    </w:p>
    <w:p w14:paraId="6C458602" w14:textId="028BC0F0" w:rsidR="006147CB" w:rsidRPr="00AF4527" w:rsidRDefault="00447FF5" w:rsidP="00821C19">
      <w:pPr>
        <w:jc w:val="center"/>
        <w:rPr>
          <w:b/>
          <w:bCs/>
          <w:color w:val="C45911" w:themeColor="accent2" w:themeShade="BF"/>
          <w:sz w:val="36"/>
          <w:szCs w:val="36"/>
        </w:rPr>
      </w:pPr>
      <w:r w:rsidRPr="00AF4527">
        <w:rPr>
          <w:b/>
          <w:bCs/>
          <w:color w:val="C45911" w:themeColor="accent2" w:themeShade="BF"/>
          <w:sz w:val="36"/>
          <w:szCs w:val="36"/>
        </w:rPr>
        <w:t xml:space="preserve">Small Grants Award </w:t>
      </w:r>
      <w:r w:rsidR="00AF4527" w:rsidRPr="00AF4527">
        <w:rPr>
          <w:b/>
          <w:bCs/>
          <w:color w:val="C45911" w:themeColor="accent2" w:themeShade="BF"/>
          <w:sz w:val="36"/>
          <w:szCs w:val="36"/>
        </w:rPr>
        <w:t xml:space="preserve">Guidance </w:t>
      </w:r>
    </w:p>
    <w:p w14:paraId="6C9AB666" w14:textId="0BE7D8C1" w:rsidR="00447FF5" w:rsidRDefault="00447FF5" w:rsidP="00447FF5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447FF5">
        <w:rPr>
          <w:b/>
          <w:bCs/>
          <w:sz w:val="24"/>
          <w:szCs w:val="24"/>
        </w:rPr>
        <w:t>Introduction</w:t>
      </w:r>
    </w:p>
    <w:p w14:paraId="58732407" w14:textId="0785C702" w:rsidR="00447FF5" w:rsidRDefault="00447FF5" w:rsidP="00F362C4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The following policy sets out how </w:t>
      </w:r>
      <w:r w:rsidR="00AF4527">
        <w:rPr>
          <w:sz w:val="24"/>
          <w:szCs w:val="24"/>
        </w:rPr>
        <w:t>Bishop Wilton</w:t>
      </w:r>
      <w:r>
        <w:rPr>
          <w:sz w:val="24"/>
          <w:szCs w:val="24"/>
        </w:rPr>
        <w:t xml:space="preserve"> Parish Council considers and grants awards.</w:t>
      </w:r>
    </w:p>
    <w:p w14:paraId="12BDE64F" w14:textId="1A392C55" w:rsidR="00447FF5" w:rsidRDefault="00447FF5" w:rsidP="00447FF5">
      <w:pPr>
        <w:pStyle w:val="ListParagraph"/>
        <w:ind w:left="360"/>
        <w:rPr>
          <w:sz w:val="24"/>
          <w:szCs w:val="24"/>
        </w:rPr>
      </w:pPr>
    </w:p>
    <w:p w14:paraId="1E66853C" w14:textId="5DBC4CA0" w:rsidR="00447FF5" w:rsidRDefault="00447FF5" w:rsidP="00F362C4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The policy enables the Council to make informed and fair assessment of grant applications, so that decisions on grant applications within the limited grant budget are fair.</w:t>
      </w:r>
    </w:p>
    <w:p w14:paraId="1BD48087" w14:textId="42536BD2" w:rsidR="00447FF5" w:rsidRDefault="00447FF5" w:rsidP="00447FF5">
      <w:pPr>
        <w:pStyle w:val="ListParagraph"/>
        <w:ind w:left="360"/>
        <w:rPr>
          <w:sz w:val="24"/>
          <w:szCs w:val="24"/>
        </w:rPr>
      </w:pPr>
    </w:p>
    <w:p w14:paraId="155C3AA6" w14:textId="7653E547" w:rsidR="00447FF5" w:rsidRDefault="00447FF5" w:rsidP="00F362C4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The aim is to assist the continuing development of a vibrant and active community, enhancing the range of activities and services available to </w:t>
      </w:r>
      <w:r w:rsidR="00AF4527">
        <w:rPr>
          <w:sz w:val="24"/>
          <w:szCs w:val="24"/>
        </w:rPr>
        <w:t>Bishop Wilton</w:t>
      </w:r>
      <w:r>
        <w:rPr>
          <w:sz w:val="24"/>
          <w:szCs w:val="24"/>
        </w:rPr>
        <w:t xml:space="preserve"> residents.</w:t>
      </w:r>
    </w:p>
    <w:p w14:paraId="7E96CADE" w14:textId="79F1B53C" w:rsidR="00447FF5" w:rsidRDefault="00447FF5" w:rsidP="00447FF5">
      <w:pPr>
        <w:pStyle w:val="ListParagraph"/>
        <w:ind w:left="360"/>
        <w:rPr>
          <w:sz w:val="24"/>
          <w:szCs w:val="24"/>
        </w:rPr>
      </w:pPr>
    </w:p>
    <w:p w14:paraId="48C2B21C" w14:textId="7DBB89C7" w:rsidR="00447FF5" w:rsidRDefault="00447FF5" w:rsidP="00447FF5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447FF5">
        <w:rPr>
          <w:b/>
          <w:bCs/>
          <w:sz w:val="24"/>
          <w:szCs w:val="24"/>
        </w:rPr>
        <w:t>Power</w:t>
      </w:r>
    </w:p>
    <w:p w14:paraId="1EA19FF8" w14:textId="34DECE36" w:rsidR="00447FF5" w:rsidRDefault="00447FF5" w:rsidP="00447FF5">
      <w:pPr>
        <w:rPr>
          <w:sz w:val="24"/>
          <w:szCs w:val="24"/>
        </w:rPr>
      </w:pPr>
      <w:r w:rsidRPr="00447FF5">
        <w:rPr>
          <w:sz w:val="24"/>
          <w:szCs w:val="24"/>
        </w:rPr>
        <w:t>The Pari</w:t>
      </w:r>
      <w:r>
        <w:rPr>
          <w:sz w:val="24"/>
          <w:szCs w:val="24"/>
        </w:rPr>
        <w:t>sh Council regularly receives requests for grants and donations from a variety of organisations and the aim of the Policy is to encourage and support activities and projects which will benefit the Parish of</w:t>
      </w:r>
      <w:r w:rsidR="00AF4527">
        <w:rPr>
          <w:sz w:val="24"/>
          <w:szCs w:val="24"/>
        </w:rPr>
        <w:t xml:space="preserve"> Bishop Wilton </w:t>
      </w:r>
      <w:r>
        <w:rPr>
          <w:sz w:val="24"/>
          <w:szCs w:val="24"/>
        </w:rPr>
        <w:t>only.</w:t>
      </w:r>
    </w:p>
    <w:p w14:paraId="59E0FDB1" w14:textId="31A6CBAC" w:rsidR="00447FF5" w:rsidRDefault="00447FF5" w:rsidP="00447FF5">
      <w:pPr>
        <w:rPr>
          <w:sz w:val="24"/>
          <w:szCs w:val="24"/>
        </w:rPr>
      </w:pPr>
      <w:r>
        <w:rPr>
          <w:sz w:val="24"/>
          <w:szCs w:val="24"/>
        </w:rPr>
        <w:t>Section 137 of the Local Government Act 1972 places restrictions on Parish Councils when it comes to making grants to other organisations or bodies.</w:t>
      </w:r>
    </w:p>
    <w:p w14:paraId="4A4325D9" w14:textId="36806D98" w:rsidR="00447FF5" w:rsidRDefault="00447FF5" w:rsidP="00447FF5">
      <w:pPr>
        <w:rPr>
          <w:i/>
          <w:iCs/>
          <w:sz w:val="24"/>
          <w:szCs w:val="24"/>
        </w:rPr>
      </w:pPr>
      <w:r>
        <w:rPr>
          <w:sz w:val="24"/>
          <w:szCs w:val="24"/>
        </w:rPr>
        <w:t>Paragraph 1 – “</w:t>
      </w:r>
      <w:r w:rsidRPr="00F362C4">
        <w:rPr>
          <w:i/>
          <w:iCs/>
          <w:sz w:val="24"/>
          <w:szCs w:val="24"/>
        </w:rPr>
        <w:t>A local authority may, subject to the provisions of this section, incur expenditure which in their opinion</w:t>
      </w:r>
      <w:r w:rsidR="00F362C4" w:rsidRPr="00F362C4">
        <w:rPr>
          <w:i/>
          <w:iCs/>
          <w:sz w:val="24"/>
          <w:szCs w:val="24"/>
        </w:rPr>
        <w:t xml:space="preserve"> is in the interests of, and will bring direct benefit to, their area or any part of it or all or some of its inhabitants”</w:t>
      </w:r>
    </w:p>
    <w:p w14:paraId="702BFAD8" w14:textId="0A137F84" w:rsidR="00F362C4" w:rsidRPr="00F362C4" w:rsidRDefault="00F362C4" w:rsidP="00F362C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Policy</w:t>
      </w:r>
    </w:p>
    <w:p w14:paraId="16959968" w14:textId="68D94FFC" w:rsidR="00F362C4" w:rsidRDefault="00F362C4" w:rsidP="00F362C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362C4">
        <w:rPr>
          <w:sz w:val="24"/>
          <w:szCs w:val="24"/>
        </w:rPr>
        <w:t xml:space="preserve"> Grants are made to support constituted voluntary</w:t>
      </w:r>
      <w:r>
        <w:rPr>
          <w:sz w:val="24"/>
          <w:szCs w:val="24"/>
        </w:rPr>
        <w:t xml:space="preserve"> groups, charitable bodies and community organisations, or new organisations that wish to get established.</w:t>
      </w:r>
    </w:p>
    <w:p w14:paraId="73DE594D" w14:textId="345F2721" w:rsidR="00F362C4" w:rsidRDefault="00F362C4" w:rsidP="00F362C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Applications are only accepted from charitable or non-profit making organi</w:t>
      </w:r>
      <w:r w:rsidR="00BD5FA6">
        <w:rPr>
          <w:sz w:val="24"/>
          <w:szCs w:val="24"/>
        </w:rPr>
        <w:t>sations.</w:t>
      </w:r>
    </w:p>
    <w:p w14:paraId="416CF76D" w14:textId="72D4B1B7" w:rsidR="00BD5FA6" w:rsidRDefault="00BD5FA6" w:rsidP="00F362C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Applications from organisations with substantial unallocated resources will not be considered priority for funding</w:t>
      </w:r>
    </w:p>
    <w:p w14:paraId="64B2B7CF" w14:textId="6299C402" w:rsidR="00BD5FA6" w:rsidRDefault="00BD5FA6" w:rsidP="00BD5FA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Only one grant will be made to an organisation within a single financial year. The provision of a grant in one year does not set precedent for another year, nor does it preclude further grants in subsequent years.</w:t>
      </w:r>
    </w:p>
    <w:p w14:paraId="40016B20" w14:textId="1A5A5BE6" w:rsidR="00AF4527" w:rsidRDefault="00AF4527" w:rsidP="00BD5FA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Grant applications will not be considered for expenditure that has already been incurred</w:t>
      </w:r>
    </w:p>
    <w:p w14:paraId="3EEDAC7F" w14:textId="77777777" w:rsidR="00BD5FA6" w:rsidRDefault="00BD5FA6" w:rsidP="00BD5FA6">
      <w:pPr>
        <w:pStyle w:val="ListParagraph"/>
        <w:rPr>
          <w:sz w:val="24"/>
          <w:szCs w:val="24"/>
        </w:rPr>
      </w:pPr>
    </w:p>
    <w:p w14:paraId="547939EF" w14:textId="7D0AD73A" w:rsidR="00BD5FA6" w:rsidRDefault="00BD5FA6" w:rsidP="00BD5FA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BD5FA6">
        <w:rPr>
          <w:b/>
          <w:bCs/>
          <w:sz w:val="24"/>
          <w:szCs w:val="24"/>
        </w:rPr>
        <w:t>What will not be funded</w:t>
      </w:r>
    </w:p>
    <w:p w14:paraId="23EFCC93" w14:textId="42E13179" w:rsidR="00BD5FA6" w:rsidRDefault="00BD5FA6" w:rsidP="00BD5FA6">
      <w:pPr>
        <w:rPr>
          <w:sz w:val="24"/>
          <w:szCs w:val="24"/>
        </w:rPr>
      </w:pPr>
      <w:r w:rsidRPr="00BD5FA6">
        <w:rPr>
          <w:sz w:val="24"/>
          <w:szCs w:val="24"/>
        </w:rPr>
        <w:t>Grants will not be awarded to support:-</w:t>
      </w:r>
    </w:p>
    <w:p w14:paraId="5433CEB7" w14:textId="1E241661" w:rsidR="00BD5FA6" w:rsidRDefault="00BD5FA6" w:rsidP="00BD5FA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Individuals</w:t>
      </w:r>
    </w:p>
    <w:p w14:paraId="697B51DD" w14:textId="0F13BB4C" w:rsidR="00BD5FA6" w:rsidRDefault="00BD5FA6" w:rsidP="00BD5FA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Activities that fall outside the Financial Year in which funds are awarded </w:t>
      </w:r>
    </w:p>
    <w:p w14:paraId="1A7F9AE9" w14:textId="6034D911" w:rsidR="00BD5FA6" w:rsidRDefault="00BD5FA6" w:rsidP="00BD5FA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Activities that fall operate outside the Parish Boundary unless providing opportunities or a ser</w:t>
      </w:r>
      <w:r w:rsidRPr="00BD5FA6">
        <w:rPr>
          <w:sz w:val="24"/>
          <w:szCs w:val="24"/>
        </w:rPr>
        <w:t xml:space="preserve">vice for </w:t>
      </w:r>
      <w:r w:rsidR="00AF4527">
        <w:rPr>
          <w:sz w:val="24"/>
          <w:szCs w:val="24"/>
        </w:rPr>
        <w:t>Bishop Wilton</w:t>
      </w:r>
      <w:r w:rsidRPr="00BD5FA6">
        <w:rPr>
          <w:sz w:val="24"/>
          <w:szCs w:val="24"/>
        </w:rPr>
        <w:t xml:space="preserve"> residents</w:t>
      </w:r>
    </w:p>
    <w:p w14:paraId="62B1EEA7" w14:textId="54F4DC54" w:rsidR="00BD5FA6" w:rsidRDefault="00BD5FA6" w:rsidP="00BD5FA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Activities that could be reasonably be expected to be funded from other sources</w:t>
      </w:r>
    </w:p>
    <w:p w14:paraId="75EDC5CA" w14:textId="37D4D3C8" w:rsidR="00BD5FA6" w:rsidRDefault="00BD5FA6" w:rsidP="00BD5FA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Projects that have already been completed</w:t>
      </w:r>
    </w:p>
    <w:p w14:paraId="7ACD7320" w14:textId="55BBC151" w:rsidR="00BD5FA6" w:rsidRDefault="00BD5FA6" w:rsidP="00BD5FA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Promotion or opposition to a political or religious activity</w:t>
      </w:r>
    </w:p>
    <w:p w14:paraId="1EF42428" w14:textId="77777777" w:rsidR="00BD5FA6" w:rsidRPr="00BD5FA6" w:rsidRDefault="00BD5FA6" w:rsidP="00BD5FA6">
      <w:pPr>
        <w:rPr>
          <w:sz w:val="24"/>
          <w:szCs w:val="24"/>
        </w:rPr>
      </w:pPr>
    </w:p>
    <w:p w14:paraId="5B37231D" w14:textId="5307ED46" w:rsidR="00BD5FA6" w:rsidRDefault="00BD5FA6" w:rsidP="00BD5FA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BD5FA6">
        <w:rPr>
          <w:b/>
          <w:bCs/>
          <w:sz w:val="24"/>
          <w:szCs w:val="24"/>
        </w:rPr>
        <w:t>Applications</w:t>
      </w:r>
    </w:p>
    <w:p w14:paraId="32A0AF2F" w14:textId="6859688D" w:rsidR="00BD5FA6" w:rsidRDefault="00BD5FA6" w:rsidP="00BC1393">
      <w:pPr>
        <w:spacing w:before="240"/>
        <w:rPr>
          <w:sz w:val="24"/>
          <w:szCs w:val="24"/>
        </w:rPr>
      </w:pPr>
      <w:r w:rsidRPr="00BC1393">
        <w:rPr>
          <w:sz w:val="24"/>
          <w:szCs w:val="24"/>
        </w:rPr>
        <w:t>Applications for grants must be made by completion of the Council</w:t>
      </w:r>
      <w:r w:rsidR="00BC1393" w:rsidRPr="00BC1393">
        <w:rPr>
          <w:sz w:val="24"/>
          <w:szCs w:val="24"/>
        </w:rPr>
        <w:t>’s official application form, submitted together with any accompanying documents to the Clerk</w:t>
      </w:r>
      <w:r w:rsidR="00BC1393">
        <w:rPr>
          <w:sz w:val="24"/>
          <w:szCs w:val="24"/>
        </w:rPr>
        <w:t>.</w:t>
      </w:r>
    </w:p>
    <w:p w14:paraId="490CEA8C" w14:textId="1D344BB9" w:rsidR="00BC1393" w:rsidRDefault="00BC1393" w:rsidP="00BC1393">
      <w:pPr>
        <w:pStyle w:val="ListParagraph"/>
        <w:numPr>
          <w:ilvl w:val="0"/>
          <w:numId w:val="1"/>
        </w:num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Criteria</w:t>
      </w:r>
    </w:p>
    <w:p w14:paraId="7A49BCC3" w14:textId="7256E947" w:rsidR="00BC1393" w:rsidRDefault="00BC1393" w:rsidP="00BC1393">
      <w:pPr>
        <w:pStyle w:val="ListParagraph"/>
        <w:numPr>
          <w:ilvl w:val="0"/>
          <w:numId w:val="5"/>
        </w:numPr>
        <w:spacing w:before="240"/>
        <w:rPr>
          <w:sz w:val="24"/>
          <w:szCs w:val="24"/>
        </w:rPr>
      </w:pPr>
      <w:r w:rsidRPr="00BC1393">
        <w:rPr>
          <w:sz w:val="24"/>
          <w:szCs w:val="24"/>
        </w:rPr>
        <w:t>The application sh</w:t>
      </w:r>
      <w:r>
        <w:rPr>
          <w:sz w:val="24"/>
          <w:szCs w:val="24"/>
        </w:rPr>
        <w:t>o</w:t>
      </w:r>
      <w:r w:rsidRPr="00BC1393">
        <w:rPr>
          <w:sz w:val="24"/>
          <w:szCs w:val="24"/>
        </w:rPr>
        <w:t>uld clearly identify expected benefits and outcomes</w:t>
      </w:r>
    </w:p>
    <w:p w14:paraId="78649635" w14:textId="7028C3D4" w:rsidR="00BC1393" w:rsidRDefault="00BC1393" w:rsidP="00BC1393">
      <w:pPr>
        <w:pStyle w:val="ListParagraph"/>
        <w:numPr>
          <w:ilvl w:val="0"/>
          <w:numId w:val="5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The application should meet community needs</w:t>
      </w:r>
    </w:p>
    <w:p w14:paraId="66ED9A0B" w14:textId="35025A02" w:rsidR="00BC1393" w:rsidRDefault="00BC1393" w:rsidP="00BC1393">
      <w:pPr>
        <w:pStyle w:val="ListParagraph"/>
        <w:numPr>
          <w:ilvl w:val="0"/>
          <w:numId w:val="5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The application should meet full or part costs of the project or activities</w:t>
      </w:r>
    </w:p>
    <w:p w14:paraId="3643D352" w14:textId="0FB51A95" w:rsidR="00BC1393" w:rsidRDefault="00BC1393" w:rsidP="00BC1393">
      <w:pPr>
        <w:pStyle w:val="ListParagraph"/>
        <w:numPr>
          <w:ilvl w:val="0"/>
          <w:numId w:val="5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The costs are appropriate</w:t>
      </w:r>
    </w:p>
    <w:p w14:paraId="31C976AF" w14:textId="55A49111" w:rsidR="00BC1393" w:rsidRDefault="00BC1393" w:rsidP="00BC1393">
      <w:pPr>
        <w:pStyle w:val="ListParagraph"/>
        <w:numPr>
          <w:ilvl w:val="0"/>
          <w:numId w:val="5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The organisation has a constitution or formal operating policy</w:t>
      </w:r>
    </w:p>
    <w:p w14:paraId="255E1DBC" w14:textId="3DF7801F" w:rsidR="00BC1393" w:rsidRDefault="00BC1393" w:rsidP="00BC1393">
      <w:pPr>
        <w:pStyle w:val="ListParagraph"/>
        <w:numPr>
          <w:ilvl w:val="0"/>
          <w:numId w:val="5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The organisation has a bank account and can provide financial accounts for the past year</w:t>
      </w:r>
    </w:p>
    <w:p w14:paraId="42FE4905" w14:textId="76060B30" w:rsidR="00BC1393" w:rsidRDefault="00BC1393" w:rsidP="00BC1393">
      <w:pPr>
        <w:pStyle w:val="ListParagraph"/>
        <w:numPr>
          <w:ilvl w:val="0"/>
          <w:numId w:val="5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All funds awarded should be allocated according to the application</w:t>
      </w:r>
    </w:p>
    <w:p w14:paraId="23B47E04" w14:textId="2AD72640" w:rsidR="00BC1393" w:rsidRDefault="00BC1393" w:rsidP="00BC1393">
      <w:pPr>
        <w:pStyle w:val="ListParagraph"/>
        <w:numPr>
          <w:ilvl w:val="0"/>
          <w:numId w:val="5"/>
        </w:numPr>
        <w:spacing w:before="240"/>
        <w:rPr>
          <w:sz w:val="24"/>
          <w:szCs w:val="24"/>
        </w:rPr>
      </w:pPr>
      <w:r w:rsidRPr="00BC1393">
        <w:rPr>
          <w:sz w:val="24"/>
          <w:szCs w:val="24"/>
        </w:rPr>
        <w:t xml:space="preserve">The organisation has undertaken other fundraising activities </w:t>
      </w:r>
    </w:p>
    <w:p w14:paraId="3593D46B" w14:textId="77777777" w:rsidR="00BC1393" w:rsidRDefault="00BC1393" w:rsidP="00BC1393">
      <w:pPr>
        <w:pStyle w:val="ListParagraph"/>
        <w:spacing w:before="240"/>
        <w:ind w:left="1080"/>
        <w:rPr>
          <w:sz w:val="24"/>
          <w:szCs w:val="24"/>
        </w:rPr>
      </w:pPr>
    </w:p>
    <w:p w14:paraId="04ADADEC" w14:textId="15F5E950" w:rsidR="0089035C" w:rsidRDefault="00BC1393" w:rsidP="00BC1393">
      <w:pPr>
        <w:spacing w:before="240"/>
        <w:rPr>
          <w:sz w:val="24"/>
          <w:szCs w:val="24"/>
        </w:rPr>
      </w:pPr>
      <w:r w:rsidRPr="00BC1393">
        <w:rPr>
          <w:sz w:val="24"/>
          <w:szCs w:val="24"/>
        </w:rPr>
        <w:t>If the applicant has</w:t>
      </w:r>
      <w:r>
        <w:rPr>
          <w:sz w:val="24"/>
          <w:szCs w:val="24"/>
        </w:rPr>
        <w:t xml:space="preserve"> received</w:t>
      </w:r>
      <w:r w:rsidRPr="00BC1393">
        <w:rPr>
          <w:sz w:val="24"/>
          <w:szCs w:val="24"/>
        </w:rPr>
        <w:t xml:space="preserve"> funding in the previous </w:t>
      </w:r>
      <w:r>
        <w:rPr>
          <w:sz w:val="24"/>
          <w:szCs w:val="24"/>
        </w:rPr>
        <w:t>y</w:t>
      </w:r>
      <w:r w:rsidR="0089035C">
        <w:rPr>
          <w:sz w:val="24"/>
          <w:szCs w:val="24"/>
        </w:rPr>
        <w:t>ear, the Council must be satisfied t</w:t>
      </w:r>
      <w:r>
        <w:rPr>
          <w:sz w:val="24"/>
          <w:szCs w:val="24"/>
        </w:rPr>
        <w:t>hat the applicant has delivered that project, activity or service to a satisfactory level</w:t>
      </w:r>
      <w:r w:rsidR="0089035C">
        <w:rPr>
          <w:sz w:val="24"/>
          <w:szCs w:val="24"/>
        </w:rPr>
        <w:t>.</w:t>
      </w:r>
    </w:p>
    <w:p w14:paraId="0722AE3F" w14:textId="16046CD8" w:rsidR="0089035C" w:rsidRDefault="0089035C" w:rsidP="00BC1393">
      <w:pPr>
        <w:spacing w:before="240"/>
        <w:rPr>
          <w:sz w:val="24"/>
          <w:szCs w:val="24"/>
        </w:rPr>
      </w:pPr>
      <w:r>
        <w:rPr>
          <w:sz w:val="24"/>
          <w:szCs w:val="24"/>
        </w:rPr>
        <w:t>The Parish Council reserves the right to decline any application.</w:t>
      </w:r>
    </w:p>
    <w:p w14:paraId="42D05896" w14:textId="77777777" w:rsidR="0089035C" w:rsidRDefault="0089035C" w:rsidP="00BC1393">
      <w:pPr>
        <w:spacing w:before="240"/>
        <w:rPr>
          <w:sz w:val="24"/>
          <w:szCs w:val="24"/>
        </w:rPr>
      </w:pPr>
    </w:p>
    <w:p w14:paraId="274A556E" w14:textId="77777777" w:rsidR="0089035C" w:rsidRPr="00BC1393" w:rsidRDefault="0089035C" w:rsidP="00BC1393">
      <w:pPr>
        <w:spacing w:before="240"/>
        <w:rPr>
          <w:sz w:val="24"/>
          <w:szCs w:val="24"/>
        </w:rPr>
      </w:pPr>
    </w:p>
    <w:p w14:paraId="1DB21EBC" w14:textId="3CA92887" w:rsidR="00BC1393" w:rsidRPr="00BC1393" w:rsidRDefault="00BC1393" w:rsidP="00BC1393">
      <w:pPr>
        <w:pStyle w:val="ListParagraph"/>
        <w:spacing w:before="240"/>
        <w:ind w:left="0"/>
        <w:rPr>
          <w:sz w:val="24"/>
          <w:szCs w:val="24"/>
        </w:rPr>
      </w:pPr>
    </w:p>
    <w:p w14:paraId="31DECF43" w14:textId="77777777" w:rsidR="00BC1393" w:rsidRPr="00BC1393" w:rsidRDefault="00BC1393" w:rsidP="00BC1393">
      <w:pPr>
        <w:pStyle w:val="ListParagraph"/>
        <w:spacing w:before="240"/>
        <w:ind w:left="0"/>
        <w:rPr>
          <w:sz w:val="24"/>
          <w:szCs w:val="24"/>
        </w:rPr>
      </w:pPr>
    </w:p>
    <w:p w14:paraId="6674699A" w14:textId="77777777" w:rsidR="00BD5FA6" w:rsidRPr="00BD5FA6" w:rsidRDefault="00BD5FA6" w:rsidP="00BD5FA6">
      <w:pPr>
        <w:pStyle w:val="ListParagraph"/>
        <w:ind w:left="0"/>
        <w:rPr>
          <w:sz w:val="24"/>
          <w:szCs w:val="24"/>
        </w:rPr>
      </w:pPr>
    </w:p>
    <w:sectPr w:rsidR="00BD5FA6" w:rsidRPr="00BD5F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BCCDE" w14:textId="77777777" w:rsidR="00AF4527" w:rsidRDefault="00AF4527" w:rsidP="00AF4527">
      <w:pPr>
        <w:spacing w:after="0" w:line="240" w:lineRule="auto"/>
      </w:pPr>
      <w:r>
        <w:separator/>
      </w:r>
    </w:p>
  </w:endnote>
  <w:endnote w:type="continuationSeparator" w:id="0">
    <w:p w14:paraId="49F33237" w14:textId="77777777" w:rsidR="00AF4527" w:rsidRDefault="00AF4527" w:rsidP="00AF4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46DD1" w14:textId="77777777" w:rsidR="00AF4527" w:rsidRDefault="00AF45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571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708809" w14:textId="747A6DA0" w:rsidR="00AF4527" w:rsidRPr="00AF4527" w:rsidRDefault="00AF4527" w:rsidP="00AF4527">
        <w:pPr>
          <w:jc w:val="center"/>
          <w:rPr>
            <w:b/>
            <w:bCs/>
            <w:color w:val="C45911" w:themeColor="accent2" w:themeShade="BF"/>
            <w:sz w:val="20"/>
            <w:szCs w:val="20"/>
          </w:rPr>
        </w:pPr>
        <w:r>
          <w:t xml:space="preserve">                                 </w:t>
        </w:r>
        <w:r w:rsidRPr="00AF4527">
          <w:rPr>
            <w:b/>
            <w:bCs/>
            <w:color w:val="C45911" w:themeColor="accent2" w:themeShade="BF"/>
            <w:sz w:val="20"/>
            <w:szCs w:val="20"/>
          </w:rPr>
          <w:t>Bishop Wilton Parish Council</w:t>
        </w:r>
        <w:r>
          <w:rPr>
            <w:b/>
            <w:bCs/>
            <w:color w:val="C45911" w:themeColor="accent2" w:themeShade="BF"/>
            <w:sz w:val="20"/>
            <w:szCs w:val="20"/>
          </w:rPr>
          <w:t xml:space="preserve"> </w:t>
        </w:r>
        <w:r w:rsidRPr="00AF4527">
          <w:rPr>
            <w:b/>
            <w:bCs/>
            <w:color w:val="C45911" w:themeColor="accent2" w:themeShade="BF"/>
            <w:sz w:val="20"/>
            <w:szCs w:val="20"/>
          </w:rPr>
          <w:t xml:space="preserve">Small Grants Award Guidance </w:t>
        </w:r>
        <w:r>
          <w:rPr>
            <w:b/>
            <w:bCs/>
            <w:color w:val="C45911" w:themeColor="accent2" w:themeShade="BF"/>
            <w:sz w:val="20"/>
            <w:szCs w:val="20"/>
          </w:rPr>
          <w:t xml:space="preserve">                                       </w:t>
        </w:r>
        <w:r>
          <w:t xml:space="preserve"> 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0B5DA3" w14:textId="77777777" w:rsidR="00AF4527" w:rsidRDefault="00AF45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B137" w14:textId="77777777" w:rsidR="00AF4527" w:rsidRDefault="00AF45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6F188" w14:textId="77777777" w:rsidR="00AF4527" w:rsidRDefault="00AF4527" w:rsidP="00AF4527">
      <w:pPr>
        <w:spacing w:after="0" w:line="240" w:lineRule="auto"/>
      </w:pPr>
      <w:r>
        <w:separator/>
      </w:r>
    </w:p>
  </w:footnote>
  <w:footnote w:type="continuationSeparator" w:id="0">
    <w:p w14:paraId="2BB42A82" w14:textId="77777777" w:rsidR="00AF4527" w:rsidRDefault="00AF4527" w:rsidP="00AF4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54345" w14:textId="77777777" w:rsidR="00AF4527" w:rsidRDefault="00AF45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90CAA" w14:textId="77777777" w:rsidR="00AF4527" w:rsidRDefault="00AF45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BEC8" w14:textId="77777777" w:rsidR="00AF4527" w:rsidRDefault="00AF4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D07BD"/>
    <w:multiLevelType w:val="hybridMultilevel"/>
    <w:tmpl w:val="11ECFC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53218B"/>
    <w:multiLevelType w:val="hybridMultilevel"/>
    <w:tmpl w:val="D47C3B42"/>
    <w:lvl w:ilvl="0" w:tplc="C518D20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4E3857"/>
    <w:multiLevelType w:val="hybridMultilevel"/>
    <w:tmpl w:val="873204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A5B6A"/>
    <w:multiLevelType w:val="hybridMultilevel"/>
    <w:tmpl w:val="9FAE63BA"/>
    <w:lvl w:ilvl="0" w:tplc="FA263F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8D01AA"/>
    <w:multiLevelType w:val="hybridMultilevel"/>
    <w:tmpl w:val="0980B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F5"/>
    <w:rsid w:val="000C71FA"/>
    <w:rsid w:val="00447FF5"/>
    <w:rsid w:val="006147CB"/>
    <w:rsid w:val="00821C19"/>
    <w:rsid w:val="0089035C"/>
    <w:rsid w:val="00AF4527"/>
    <w:rsid w:val="00BC1393"/>
    <w:rsid w:val="00BD5FA6"/>
    <w:rsid w:val="00F3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CB8E3"/>
  <w15:chartTrackingRefBased/>
  <w15:docId w15:val="{21DA7AE8-9D48-4CCD-B459-F6F01896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F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4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527"/>
  </w:style>
  <w:style w:type="paragraph" w:styleId="Footer">
    <w:name w:val="footer"/>
    <w:basedOn w:val="Normal"/>
    <w:link w:val="FooterChar"/>
    <w:uiPriority w:val="99"/>
    <w:unhideWhenUsed/>
    <w:rsid w:val="00AF4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NDPC</dc:creator>
  <cp:keywords/>
  <dc:description/>
  <cp:lastModifiedBy>Bishopwilton Clerk</cp:lastModifiedBy>
  <cp:revision>2</cp:revision>
  <cp:lastPrinted>2020-07-31T08:02:00Z</cp:lastPrinted>
  <dcterms:created xsi:type="dcterms:W3CDTF">2022-03-30T16:47:00Z</dcterms:created>
  <dcterms:modified xsi:type="dcterms:W3CDTF">2022-03-30T16:47:00Z</dcterms:modified>
</cp:coreProperties>
</file>